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0" w:type="dxa"/>
        <w:tblInd w:w="4569" w:type="dxa"/>
        <w:tblLayout w:type="fixed"/>
        <w:tblLook w:val="01E0" w:firstRow="1" w:lastRow="1" w:firstColumn="1" w:lastColumn="1" w:noHBand="0" w:noVBand="0"/>
      </w:tblPr>
      <w:tblGrid>
        <w:gridCol w:w="4870"/>
      </w:tblGrid>
      <w:tr w:rsidR="00DC5863">
        <w:trPr>
          <w:trHeight w:val="2268"/>
        </w:trPr>
        <w:tc>
          <w:tcPr>
            <w:tcW w:w="4870" w:type="dxa"/>
          </w:tcPr>
          <w:p w:rsidR="00DC5863" w:rsidRDefault="00B576A6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noProof/>
                <w:sz w:val="24"/>
                <w:lang w:val="ru-RU" w:eastAsia="ru-RU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paragraph">
                    <wp:posOffset>635</wp:posOffset>
                  </wp:positionV>
                  <wp:extent cx="2955290" cy="1888490"/>
                  <wp:effectExtent l="0" t="0" r="0" b="0"/>
                  <wp:wrapSquare wrapText="largest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1888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C5863" w:rsidRDefault="00DC5863">
      <w:pPr>
        <w:spacing w:beforeAutospacing="0" w:afterAutospacing="0"/>
        <w:jc w:val="right"/>
        <w:rPr>
          <w:rFonts w:ascii="PT Astra Serif" w:hAnsi="PT Astra Serif"/>
          <w:b/>
          <w:bCs/>
          <w:color w:val="000000"/>
          <w:sz w:val="28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DC5863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B576A6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ИЗВЕЩЕНИЕ </w:t>
      </w:r>
    </w:p>
    <w:p w:rsidR="00DC5863" w:rsidRDefault="00B576A6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об осуществлении аукциона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</w:t>
      </w:r>
    </w:p>
    <w:p w:rsidR="00DC5863" w:rsidRDefault="00B576A6">
      <w:pPr>
        <w:spacing w:beforeAutospacing="0" w:afterAutospacing="0"/>
        <w:jc w:val="center"/>
        <w:rPr>
          <w:rFonts w:ascii="PT Astra Serif" w:hAnsi="PT Astra Serif"/>
          <w:b/>
          <w:bCs/>
          <w:vertAlign w:val="superscript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</w:t>
      </w:r>
      <w:r>
        <w:rPr>
          <w:rFonts w:ascii="PT Astra Serif" w:hAnsi="PT Astra Serif"/>
          <w:b/>
          <w:bCs/>
          <w:color w:val="000000"/>
          <w:sz w:val="24"/>
          <w:szCs w:val="24"/>
          <w:u w:val="single"/>
          <w:lang w:val="ru-RU"/>
        </w:rPr>
        <w:t xml:space="preserve">поставку накопителей для средств </w:t>
      </w:r>
      <w:r>
        <w:rPr>
          <w:rFonts w:ascii="PT Astra Serif" w:hAnsi="PT Astra Serif"/>
          <w:b/>
          <w:bCs/>
          <w:color w:val="000000"/>
          <w:sz w:val="24"/>
          <w:szCs w:val="24"/>
          <w:u w:val="single"/>
          <w:lang w:val="ru-RU"/>
        </w:rPr>
        <w:t>вычислительной техники</w:t>
      </w:r>
      <w:r>
        <w:rPr>
          <w:rFonts w:ascii="PT Astra Serif" w:hAnsi="PT Astra Serif"/>
          <w:b/>
          <w:bCs/>
          <w:lang w:val="ru-RU"/>
        </w:rPr>
        <w:br/>
      </w:r>
      <w:r>
        <w:rPr>
          <w:rFonts w:ascii="PT Astra Serif" w:hAnsi="PT Astra Serif"/>
          <w:b/>
          <w:bCs/>
          <w:vertAlign w:val="superscript"/>
          <w:lang w:val="ru-RU"/>
        </w:rPr>
        <w:t xml:space="preserve"> (</w:t>
      </w:r>
      <w:r>
        <w:rPr>
          <w:rFonts w:ascii="PT Astra Serif" w:hAnsi="PT Astra Serif"/>
          <w:b/>
          <w:bCs/>
          <w:i/>
          <w:vertAlign w:val="superscript"/>
          <w:lang w:val="ru-RU"/>
        </w:rPr>
        <w:t>указать предмет контракта</w:t>
      </w:r>
      <w:r>
        <w:rPr>
          <w:rFonts w:ascii="PT Astra Serif" w:hAnsi="PT Astra Serif"/>
          <w:b/>
          <w:bCs/>
          <w:vertAlign w:val="superscript"/>
          <w:lang w:val="ru-RU"/>
        </w:rPr>
        <w:t>)</w:t>
      </w:r>
    </w:p>
    <w:p w:rsidR="00DC5863" w:rsidRDefault="00B576A6">
      <w:pPr>
        <w:spacing w:beforeAutospacing="0" w:afterAutospacing="0"/>
        <w:rPr>
          <w:rFonts w:ascii="PT Astra Serif" w:hAnsi="PT Astra Serif"/>
          <w:b/>
          <w:bCs/>
          <w:vertAlign w:val="superscript"/>
          <w:lang w:val="ru-RU"/>
        </w:rPr>
      </w:pPr>
      <w:r w:rsidRPr="00B576A6">
        <w:rPr>
          <w:lang w:val="ru-RU"/>
        </w:rPr>
        <w:br w:type="page"/>
      </w:r>
    </w:p>
    <w:tbl>
      <w:tblPr>
        <w:tblW w:w="10407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6"/>
        <w:gridCol w:w="3248"/>
        <w:gridCol w:w="6533"/>
      </w:tblGrid>
      <w:tr w:rsidR="00DC5863">
        <w:trPr>
          <w:trHeight w:val="71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C5863" w:rsidRDefault="00B576A6">
            <w:pPr>
              <w:pageBreakBefore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№ пункта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pStyle w:val="12"/>
              <w:keepNext/>
              <w:keepLines/>
              <w:suppressLineNumbers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Информация</w:t>
            </w:r>
          </w:p>
        </w:tc>
      </w:tr>
      <w:tr w:rsidR="00DC5863" w:rsidRPr="00B576A6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Наименование:</w:t>
            </w:r>
            <w:r>
              <w:rPr>
                <w:rFonts w:ascii="PT Astra Serif" w:hAnsi="PT Astra Serif"/>
                <w:szCs w:val="22"/>
              </w:rPr>
              <w:t xml:space="preserve"> Администрация г.Югорска.</w:t>
            </w:r>
          </w:p>
          <w:p w:rsidR="00DC5863" w:rsidRDefault="00B576A6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Место нахождения</w:t>
            </w:r>
            <w:r>
              <w:rPr>
                <w:rFonts w:ascii="PT Astra Serif" w:hAnsi="PT Astra Serif"/>
                <w:szCs w:val="22"/>
              </w:rPr>
              <w:t>: 628260, Ханты-Мансийский автономный округ – Югра, г. Югорск, ул.40 лет Победы, д.11</w:t>
            </w:r>
          </w:p>
          <w:p w:rsidR="00DC5863" w:rsidRDefault="00B576A6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Почтовый адрес</w:t>
            </w:r>
            <w:r>
              <w:rPr>
                <w:rFonts w:ascii="PT Astra Serif" w:hAnsi="PT Astra Serif"/>
                <w:szCs w:val="22"/>
              </w:rPr>
              <w:t xml:space="preserve">: </w:t>
            </w:r>
            <w:r>
              <w:rPr>
                <w:rFonts w:ascii="PT Astra Serif" w:hAnsi="PT Astra Serif"/>
                <w:szCs w:val="22"/>
              </w:rPr>
              <w:t>628260, Ханты-Мансийский автономный округ – Югра, г. Югорск, ул.40 лет Победы, д.11</w:t>
            </w:r>
          </w:p>
          <w:p w:rsidR="00DC5863" w:rsidRDefault="00B576A6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Адрес электронной почты</w:t>
            </w:r>
            <w:r>
              <w:rPr>
                <w:rFonts w:ascii="PT Astra Serif" w:hAnsi="PT Astra Serif"/>
                <w:szCs w:val="22"/>
              </w:rPr>
              <w:t>: inform@ugorsk.ru.</w:t>
            </w:r>
          </w:p>
          <w:p w:rsidR="00DC5863" w:rsidRDefault="00B576A6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Номер контрактного телефона</w:t>
            </w:r>
            <w:r>
              <w:rPr>
                <w:rFonts w:ascii="PT Astra Serif" w:hAnsi="PT Astra Serif"/>
                <w:szCs w:val="22"/>
              </w:rPr>
              <w:t>: 8 (34675) 7-70-00, доб.240.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: специалист-эксперт управления </w:t>
            </w:r>
            <w:r>
              <w:rPr>
                <w:rFonts w:ascii="PT Astra Serif" w:hAnsi="PT Astra Serif"/>
                <w:sz w:val="24"/>
                <w:lang w:val="ru-RU"/>
              </w:rPr>
              <w:t>информационных технологий Дергилев Олег Владимирович.</w:t>
            </w:r>
          </w:p>
        </w:tc>
      </w:tr>
      <w:tr w:rsidR="00DC5863" w:rsidRPr="00B576A6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Уполномоченный орган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Администрация города Югорска.</w:t>
            </w:r>
          </w:p>
          <w:p w:rsidR="00DC5863" w:rsidRDefault="00B576A6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Место нахождения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г. Югорск, ул. 40 лет Победы, 11, каб. 310.</w:t>
            </w:r>
          </w:p>
          <w:p w:rsidR="00DC5863" w:rsidRDefault="00B576A6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г. Югорск, ул. 40 лет Победы, 11.</w:t>
            </w:r>
          </w:p>
          <w:p w:rsidR="00DC5863" w:rsidRDefault="00B576A6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Телефон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(34675) 7-71-12, доб.217.</w:t>
            </w:r>
          </w:p>
          <w:p w:rsidR="00DC5863" w:rsidRDefault="00B576A6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Адрес электронной почты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PT Astra Serif" w:hAnsi="PT Astra Serif"/>
                <w:sz w:val="24"/>
                <w:szCs w:val="24"/>
              </w:rPr>
              <w:t>omz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@</w:t>
            </w:r>
            <w:r>
              <w:rPr>
                <w:rFonts w:ascii="PT Astra Serif" w:hAnsi="PT Astra Serif"/>
                <w:sz w:val="24"/>
                <w:szCs w:val="24"/>
              </w:rPr>
              <w:t>ugorsk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r>
              <w:rPr>
                <w:rFonts w:ascii="PT Astra Serif" w:hAnsi="PT Astra Serif"/>
                <w:sz w:val="24"/>
                <w:szCs w:val="24"/>
              </w:rPr>
              <w:t>ru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начальник отдела муниципальных з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акупок Департамента экономического развития и проектного управления Абдуллаева Ольга Сергеевна.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99"/>
                <w:sz w:val="24"/>
                <w:szCs w:val="24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263862200236886220100101710012620244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Электронный аукцион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Адрес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электронной площадки в информационно-телекоммуникационной сети Интернет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Акционерное общество «Сбербанк - Автоматизированная система торгов»</w:t>
            </w:r>
          </w:p>
          <w:p w:rsidR="00DC5863" w:rsidRDefault="00B576A6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http://www.sberbank-ast.ru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Аукцион в электронной форме среди субъектов малого предпр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инимательства и социально ориентированных некоммерческих организаций на право заключения муниципального контракта на поставку накопителей для средств вычислительной техники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при осуществлении закупки выполнения работы или оказания услуги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об объекте закупки отражена в Приложении 1 к извещению об осуществлении закупки «Описание объекта закупки»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Срок исполнения контракта (отдельных этапов исполнения контракта, если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проектом контракта предусмотрены такие этапы)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Срок оказания услу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г – с момента заключения муниципального контракта по 04.12.2026.</w:t>
            </w:r>
          </w:p>
          <w:p w:rsidR="00DC5863" w:rsidRDefault="00B576A6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Начало исполнения контракта: с даты заключения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муниципального контракта.</w:t>
            </w:r>
          </w:p>
          <w:p w:rsidR="00DC5863" w:rsidRDefault="00B576A6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Срок окончания исполнения контракта: 28.12.2026.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Начальная (максимальная) цена контракта (цена отдельных этапов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исполнения контракта, если проектом контракта предусмотрены такие этапы)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330 726 (триста тридцать тысяч семьсот двадцать шесть) рублей 60 копеек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Бюджет города Югорска на 2026 год (Муниципальная программа города Югорска «Развитие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информационного общества»)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6"/>
                <w:lang w:val="ru-RU" w:eastAsia="ru-RU"/>
              </w:rPr>
              <w:t>российский рубль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12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Размер аванса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предусмотрен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13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after="28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1 статьи 31 Закона о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контрактной системе</w:t>
            </w:r>
          </w:p>
          <w:p w:rsidR="00DC5863" w:rsidRDefault="00DC5863">
            <w:pPr>
              <w:spacing w:before="28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 должен соответствовать требованиям: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1)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которые являются объектом закупки;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непроведение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 открытии конкурсного производства;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3) неприостановление деятельности участника закупки в порядке, установленном Кодексом об административных правонарушениях;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4) отсутствие у участника закупки недоимки по налогам, сборам, задолженности по иным обязательны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одательством Российской Федерации о налогах и сборах) за прошедший календарный год, размер которых превышает 25 % балансовой стоимости активов участника закупки, по данным бухгалтерской отчётности за последний отчётный период. Участник закупки считается со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решение по такому заявлению на дату рассмотрения заявки на участие в определении поставщика (подрядчика, 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сполнителя) не принято;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тника закупки судимости за преступления в сфере экономики и (или) преступления, предусмотренные статьями 289, 290, 291, 291.1 Уголовного кодекса (за исключением лиц, у которых такая судимость погашена или снята), а также неприменение в отношении указанных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 наказания в виде дисквалификации;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усмотренного статьёй 19.28 Кодекса Российской Федерации об административных правонарушениях;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8) отсутствие обстоятельств, при которых должностное лицо заказчик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близкий родственник по прямой восходящей или нисходящей линии (отец, мать, дедушка,  бабушка, сын,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дочь,  внук,  внучка), полнородный или неполнородный (имеющий общих с должностным лицом заказчика отца или мать) брат (сестра), лицо, усыновлённое должностным лицом заказчика, либо усыновитель этого должностного лица заказчика является: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а) физическим лицо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(в том числе зарегистрированным в качестве индивидуального предпринимателя), являющимся участником закупки;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б) руководителем, единоличным исполнительным органом, членом коллегиального исполнительного органа, учредителем, членом коллегиального органа унит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арной организации, являющейся участником закупки;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управления, выгодоприобретателем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корпоративного юридического лица, являющегося участником 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купки. Выгодоприобретателем для целей настоящего пункта является физическое лицо, которое владеет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9) участник закупки не является офшорной компанией, не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10) участник закупки не является иностран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ным агентом;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11) отсутствие у участника закупки ограничений для участия в закупках, установленных законодательством Российской Федерации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частями 2 и 2.1 (при наличии таких требований)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статьи 31 Закона о контрактной системе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jc w:val="both"/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Перечень документов, которые подтверждают соответствие участника закупки требованиям, установленным в извещении о закупке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Установлено в соответствии с Приложением 3 к извещению о проведении закупки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1.1 статьи 31 Закона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 (при наличии такого требования)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Отсутствие в реестре недобросовестных поставщиков (подрядчиков, исполнителей) информации об участнике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закупки, в том числе информации о лицах, информация о которых содержится в заявке на участие в закупке в соответствии с подпунктом «в» пункта 1 части 1 статьи 43 Закона о контрактной системе, если Правительством Российской Федерации не установлено иное.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Преимущества в соответствии со статьями 28 и 29 Закона о контрактной системе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учреждениям и предприятиям уголовно-исполнительной системы: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организациям инвалидов: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Преимущества участия 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 xml:space="preserve">определении поставщика (подрядчика, исполнителя)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 статьи 30 Закона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 xml:space="preserve">Участниками закупки могут быть только субъекты малого 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lastRenderedPageBreak/>
              <w:t>предпринимательства и социально ориентированные некоммерческие ор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ганизации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Требование, установленное в соответствии с частью 5 статьи 30 Закона о контрактной системе, с указанием в соответствии с частью 6 статьи 30 Закона о контрактной системе объёма привлечения к исполнению контрактов субподрядчиков, соисполнителей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становлено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Запрет или ограничение закупок товаров (в том числе поставляемых при выполнении закупаемых работ, оказании закупаемых услуг), происходящ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их из иностранных государств, работ, услуг, соответственно выполняемых, оказываемых иностранными лицами,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14 Закона о контрактной системе в отношении товара (в том числе поставляемого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при выполнении закупаемой работы, оказании закупаемой услуги), работы, услуги, являющихся объектом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закупки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заявки на участие в закупке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заявки на участие в закупке установлен в размере 1% от начальной (максимальной) цены контракта, что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составляет 3 307 (три тысячи триста семь)  рублей 27 копеек.</w:t>
            </w:r>
          </w:p>
          <w:p w:rsidR="00DC5863" w:rsidRDefault="00B576A6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Предприятия уголовно-исполнительной системы, организации инвалидов, предусмо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тренные частью 2 статьи 29 Закона о контрактной системе, предоставляют обеспечение заявки на участие в закупке в размере 1/2 процента начальной (максимальной) цены контракта. Государственные, муниципальные учреждения не предоставляют обеспечение подаваемых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ими заявок на участие в закупках.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внесения денежных средств в качестве обеспечения заявок на участие в закупке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заявки на участие в закупке предоставляется в размере, указанном в предыдущем пункте одним из следующих способов:</w:t>
            </w:r>
          </w:p>
          <w:p w:rsidR="00DC5863" w:rsidRDefault="00B576A6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пут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ём блокирования денежных средств на банковском счёте, открытом таким участником в банке, включённом в перечень, утверждённый Правительством Российской Федерации;</w:t>
            </w:r>
          </w:p>
          <w:p w:rsidR="00DC5863" w:rsidRDefault="00B576A6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путём предоставления независимой гарантии, соответствующей требованиям статьи 45 Закона о 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онтрактной системе.</w:t>
            </w:r>
          </w:p>
          <w:p w:rsidR="00DC5863" w:rsidRDefault="00B576A6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Выбор способа обеспечения осуществляется участником закупки самостоятельно. Срок действия независимой гарантии должен составлять не менее месяца с даты окончания срока подачи заявок.</w:t>
            </w:r>
          </w:p>
          <w:p w:rsidR="00DC5863" w:rsidRDefault="00B576A6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 уголовно-исполнительной системы, организа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ции инвалидов, предусмотренные частью 2 статьи 29 Закона о контрактной системе, предоставляют обеспечение заявки на участие в закупке в размере одной второй процента начальной (максимальной) цены контракта.</w:t>
            </w:r>
          </w:p>
          <w:p w:rsidR="00DC5863" w:rsidRDefault="00B576A6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Государственные, муниципальные учреждения не пред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оставляют обеспечение подаваемых ими заявок на участие в закупках.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Условия независимой гарантии (если требование обеспечения заявки установлено в соответствии со статьёй 44 Закона о контрактной системе)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Независимая гарантия должна соответствовать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требованиям статьи 45 Закона о контрактной системе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24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Наименование заказчика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: Администрация города Югорска</w:t>
            </w:r>
          </w:p>
          <w:p w:rsidR="00DC5863" w:rsidRPr="00B576A6" w:rsidRDefault="00B576A6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Получ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: Депфин Югорска (Администрация города Югорска, 04873030170), ИНН 8622002368, КПП 862201001.</w:t>
            </w:r>
          </w:p>
          <w:p w:rsidR="00DC5863" w:rsidRPr="00B576A6" w:rsidRDefault="00B576A6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 ОКЦ №8 УГУ Банка России//УФК по Ханты-Мансийскому автономному округу-Югре г. Ханты-Мансийск,  БИК 007162163,  счет 40102810245370000007,</w:t>
            </w:r>
          </w:p>
          <w:p w:rsidR="00DC5863" w:rsidRDefault="00B576A6">
            <w:pPr>
              <w:spacing w:beforeAutospacing="0" w:afterAutospacing="0"/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ет получателя 03100643000000018700,</w:t>
            </w:r>
          </w:p>
          <w:p w:rsidR="00DC5863" w:rsidRDefault="00B576A6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КБК 040 11610061040000140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Реквизиты счета для перечисления денежных средств в случае, предусмотренном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 статьи 44 Закона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Pr="00B576A6" w:rsidRDefault="00B576A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B576A6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 заказчика: Администрация города Югорска</w:t>
            </w:r>
          </w:p>
          <w:p w:rsidR="00DC5863" w:rsidRPr="00B576A6" w:rsidRDefault="00B576A6">
            <w:pPr>
              <w:spacing w:before="280"/>
              <w:jc w:val="both"/>
              <w:rPr>
                <w:lang w:val="ru-RU"/>
              </w:rPr>
            </w:pPr>
            <w:r w:rsidRPr="00B576A6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r w:rsidRPr="00B576A6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 Югорска (Администрация города Югорска, 04873030170), ИНН 8622002368, КПП 862201001.</w:t>
            </w:r>
          </w:p>
          <w:p w:rsidR="00DC5863" w:rsidRPr="00B576A6" w:rsidRDefault="00B576A6">
            <w:pPr>
              <w:spacing w:before="280"/>
              <w:jc w:val="both"/>
              <w:rPr>
                <w:lang w:val="ru-RU"/>
              </w:rPr>
            </w:pPr>
            <w:r w:rsidRPr="00B576A6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Банк: ОКЦ №8 УГУ Банка России //УФК по Ханты-Мансийскому автономному округу-Югре г. Ханты-Мансийск,  БИК 007162163,  счет 40102810245370000007, казначейский счет </w:t>
            </w:r>
            <w:r w:rsidRPr="00B576A6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получателя 03100643000000018700, КБК 040 11610061040000140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исполнения контракта, гарантийных обязательств</w:t>
            </w:r>
          </w:p>
          <w:p w:rsidR="00DC5863" w:rsidRDefault="00DC5863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lang w:val="ru-RU"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lang w:val="ru-RU"/>
              </w:rPr>
              <w:t xml:space="preserve">Размер обеспечения исполнения контракта 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составляет 5% от цены, по которой в соответствии с Законом о контрактной системе, буде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т заключён контракт.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участник закупки, с которым заключается контракт, предложил цену контракта, которая на 25 и более процентов ниже начальной (максимальной) цены контракта, либо предложена сумма цен единиц товара, работы, услуги, которая на 25 и бол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 о контрактной системе, или информации, подтверждающей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ествлении закупки.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гарантийных обязательств: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 (десять) процентов от начальной (максимальной) цены контракта, что составляет 33 072 (тридцать три тысячи семьдесят два) рубля 66 копеек.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предоставления обеспечения исполнения 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онтракта, гарантийных обязательств, требования к обеспечению исполнения контракта, гарантийных обязательств (если требование обеспечения исполнения контракта, гарантийных обязательств установлено в соответствии со статьёй 96 Закона о контрактной системе)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частник закупки, с которым заключается контракт, может предоставить обеспечение исполнения контракта, гарантийных обязательств любым из двух способов: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1) внесение денежных средств на счёт заказчика, на котором в соответствии с законодательством Российской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Федерации учитываются операции со средствами, поступающими заказчику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Наименование заказчика: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Администрация города Югорска</w:t>
            </w:r>
          </w:p>
          <w:p w:rsidR="00DC5863" w:rsidRPr="00B576A6" w:rsidRDefault="00B576A6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 Югорска (Администрация города Югорска, 070190000), ИНН 8622002368, КПП 862201001.</w:t>
            </w:r>
          </w:p>
          <w:p w:rsidR="00DC5863" w:rsidRPr="00B576A6" w:rsidRDefault="00B576A6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</w:t>
            </w:r>
          </w:p>
          <w:p w:rsidR="00DC5863" w:rsidRPr="00B576A6" w:rsidRDefault="00B576A6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ОКЦ №8 УГУ Банка России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//УФК по Ханты-Мансийскому автономному округу-Югре г. Ханты-Мансийск,  БИК 007162163, счет 40102810245370000007, казначейский счет получателя 03232643718870008700, КБК 0.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Назначение платежа: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«ИКЗ ___________________ //  Обеспечение исполнения муниципальног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 контракта № ___________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на 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поставку накопителей для средств вычислительной техники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».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Факт внесения денежных средств на счёт заказчика подтверждается платёжным документом, на основании которого произведено перечисление средств;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предоставление независим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ой гарантии, соответствующей требованиям статьи 45 Закона о контрактной системе.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    Способ обеспечения исполнения контракта, срок действия независимой гарантии определяются участником закупки самостоятельно. При этом срок действия независимой гарантии до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статьёй 95 Закона о контрактной системе.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нтракт заключается после предоставления участником закупки, обеспечения исполнения контракта в соответствии с Законом о контрактной системе.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Положения настоящего извещения об обеспечении исполнения контракта, включая положения о предоставлении такого обесп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ечения с учётом положений статьи 37 Закона о контрактной системе, не применяются в случае: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заключения контракта с участником закупки, который является казённым учреждением;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осуществления закупки услуги по предоставлению кредита;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3) заключения бюджетн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 по результатам определения поставщика (подрядчика, исполнителя) у 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МП, СОНКО, освобождается от предоставления обеспечения исполнения контракта, в соответствии с частью 8.1 статьи 96 Закона о контрактной системе. В ходе исполнения контракта поставщик (подрядчик, исполнитель) вправе изменить способ обеспечения исполнения ко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нтракта и (или) предоставить заказчику взамен ранее предоставленного обеспечения исполнения контракта, новое обеспечение исполнения контракта, в соответствии с частью 7 статьи 96 Закона о контрактной системе.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банковском сопровождении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контракта в соответствии со статьёй 35 Закона о контрактной системе, о казначейском сопровождении (если в соответствии с законодательством Российской Федерации расчёты по контракту или расчёты по контракту в части выплаты аванса подлежат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казначейскому сопр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овождению)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lastRenderedPageBreak/>
              <w:t>Не установлено</w:t>
            </w: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 возможности заказчика заключить контракты, указанные в части 10 статьи 34 Закона о контрактной системе, с несколькими участниками закупки с указанием количества указанных контрактов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30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возможности одностороннего отказа от исполнения контракта в соответствии со статьёй 95 Закона о контрактной системе</w:t>
            </w:r>
          </w:p>
          <w:p w:rsidR="00DC5863" w:rsidRDefault="00DC5863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 вправе принять решение об одностороннем отказе от исполнения контракта по основаниям, предусмотренным Гражданским кодексом Россий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ской Федерации для одностороннего отказа от исполнения отдельных видов обязательств, при условии, если это было предусмотрено контрактом.</w:t>
            </w:r>
          </w:p>
          <w:p w:rsidR="00DC5863" w:rsidRDefault="00B576A6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Поставщик (подрядчик, исполнитель) вправе принять решение об одностороннем отказе от исполнения контракта по основания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м, предусмотренным Гражданским кодексом Российской Федерации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и время окончания срока подачи заявок на участие в закупке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after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 10 часов 00 минут «06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  <w:p w:rsidR="00DC5863" w:rsidRDefault="00DC5863">
            <w:pPr>
              <w:spacing w:before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«06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  <w:p w:rsidR="00DC5863" w:rsidRDefault="00DC5863">
            <w:pPr>
              <w:spacing w:beforeAutospacing="0" w:afterAutospacing="0"/>
              <w:ind w:left="75" w:right="75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DC5863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подведения 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тогов определения поставщика (подрядчика, исполнителя)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 w:rsidP="00B576A6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«10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» </w:t>
            </w: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ноября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2026 г.</w:t>
            </w:r>
          </w:p>
        </w:tc>
      </w:tr>
      <w:tr w:rsidR="00DC5863" w:rsidRPr="00B576A6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5863" w:rsidRDefault="00B576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Предупреждение об административной и уголовной ответственности за нарушение требований антимонопольного законодательства</w:t>
            </w:r>
          </w:p>
        </w:tc>
        <w:tc>
          <w:tcPr>
            <w:tcW w:w="6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5863" w:rsidRDefault="00B576A6">
            <w:pPr>
              <w:spacing w:beforeAutospacing="0" w:afterAutospacing="0"/>
              <w:ind w:left="74" w:right="7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Предупреждаем об административной и уголовной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действий.</w:t>
            </w:r>
          </w:p>
        </w:tc>
      </w:tr>
    </w:tbl>
    <w:p w:rsidR="00DC5863" w:rsidRDefault="00DC5863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DC5863" w:rsidRDefault="00B576A6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Приложения:</w:t>
      </w:r>
    </w:p>
    <w:p w:rsidR="00DC5863" w:rsidRDefault="00B576A6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1. Описание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 xml:space="preserve"> объекта закупки.</w:t>
      </w:r>
    </w:p>
    <w:p w:rsidR="00DC5863" w:rsidRDefault="00B576A6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2. Обоснование начальной (максимальной) цены контракта.</w:t>
      </w:r>
    </w:p>
    <w:p w:rsidR="00DC5863" w:rsidRDefault="00B576A6">
      <w:pPr>
        <w:spacing w:beforeAutospacing="0" w:after="120" w:afterAutospacing="0"/>
        <w:ind w:right="-754"/>
        <w:jc w:val="both"/>
        <w:rPr>
          <w:rFonts w:ascii="PT Astra Serif" w:hAnsi="PT Astra Serif"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lastRenderedPageBreak/>
        <w:t>Приложение 3. Требования к содержанию, составу заявки на участие в закупке в соответствии с Законом о контрактной системе и инструкция по её заполнению.</w:t>
      </w:r>
    </w:p>
    <w:p w:rsidR="00DC5863" w:rsidRDefault="00B576A6">
      <w:pPr>
        <w:spacing w:beforeAutospacing="0" w:after="120" w:afterAutospacing="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4. Прое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кт муниципального контракта.</w:t>
      </w:r>
    </w:p>
    <w:sectPr w:rsidR="00DC5863">
      <w:footerReference w:type="even" r:id="rId9"/>
      <w:footerReference w:type="default" r:id="rId10"/>
      <w:footerReference w:type="first" r:id="rId11"/>
      <w:pgSz w:w="11906" w:h="16838"/>
      <w:pgMar w:top="567" w:right="1440" w:bottom="1440" w:left="1440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576A6">
      <w:r>
        <w:separator/>
      </w:r>
    </w:p>
  </w:endnote>
  <w:endnote w:type="continuationSeparator" w:id="0">
    <w:p w:rsidR="00000000" w:rsidRDefault="00B57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863" w:rsidRDefault="00DC5863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863" w:rsidRDefault="00B576A6">
    <w:pPr>
      <w:pStyle w:val="afe"/>
      <w:spacing w:after="28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  <w:p w:rsidR="00DC5863" w:rsidRDefault="00DC5863">
    <w:pPr>
      <w:pStyle w:val="afe"/>
      <w:spacing w:after="2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863" w:rsidRDefault="00DC5863">
    <w:pPr>
      <w:pStyle w:val="afe"/>
      <w:spacing w:after="2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576A6">
      <w:r>
        <w:separator/>
      </w:r>
    </w:p>
  </w:footnote>
  <w:footnote w:type="continuationSeparator" w:id="0">
    <w:p w:rsidR="00000000" w:rsidRDefault="00B57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863"/>
    <w:rsid w:val="00B576A6"/>
    <w:rsid w:val="00DC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user">
    <w:name w:val="Символ сноски (user)"/>
    <w:basedOn w:val="a0"/>
    <w:uiPriority w:val="99"/>
    <w:unhideWhenUsed/>
    <w:rPr>
      <w:vertAlign w:val="superscript"/>
    </w:rPr>
  </w:style>
  <w:style w:type="character" w:customStyle="1" w:styleId="ad">
    <w:name w:val="Символ сноски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rPr>
      <w:vertAlign w:val="superscript"/>
    </w:rPr>
  </w:style>
  <w:style w:type="character" w:customStyle="1" w:styleId="af1">
    <w:name w:val="Символ концевой сноски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user1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user3">
    <w:name w:val="Колонтитулы (user)"/>
    <w:basedOn w:val="a"/>
  </w:style>
  <w:style w:type="paragraph" w:customStyle="1" w:styleId="aff7">
    <w:name w:val="Колонтитулы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user4">
    <w:name w:val="Без списка (user)"/>
    <w:uiPriority w:val="99"/>
    <w:semiHidden/>
    <w:unhideWhenUsed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user">
    <w:name w:val="Символ сноски (user)"/>
    <w:basedOn w:val="a0"/>
    <w:uiPriority w:val="99"/>
    <w:unhideWhenUsed/>
    <w:rPr>
      <w:vertAlign w:val="superscript"/>
    </w:rPr>
  </w:style>
  <w:style w:type="character" w:customStyle="1" w:styleId="ad">
    <w:name w:val="Символ сноски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rPr>
      <w:vertAlign w:val="superscript"/>
    </w:rPr>
  </w:style>
  <w:style w:type="character" w:customStyle="1" w:styleId="af1">
    <w:name w:val="Символ концевой сноски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user1"/>
  </w:style>
  <w:style w:type="paragraph" w:customStyle="1" w:styleId="user1">
    <w:name w:val="Заголовок (user)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2">
    <w:name w:val="Указатель (user)"/>
    <w:basedOn w:val="a"/>
    <w:pPr>
      <w:suppressLineNumbers/>
    </w:pPr>
    <w:rPr>
      <w:rFonts w:cs="Lucida Sans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user3">
    <w:name w:val="Колонтитулы (user)"/>
    <w:basedOn w:val="a"/>
  </w:style>
  <w:style w:type="paragraph" w:customStyle="1" w:styleId="aff7">
    <w:name w:val="Колонтитулы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user4">
    <w:name w:val="Без списка (user)"/>
    <w:uiPriority w:val="99"/>
    <w:semiHidden/>
    <w:unhideWhenUsed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F9751-42F9-4219-B4C8-231EF89F4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3113</Words>
  <Characters>17748</Characters>
  <Application>Microsoft Office Word</Application>
  <DocSecurity>0</DocSecurity>
  <Lines>147</Lines>
  <Paragraphs>41</Paragraphs>
  <ScaleCrop>false</ScaleCrop>
  <Company/>
  <LinksUpToDate>false</LinksUpToDate>
  <CharactersWithSpaces>20820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Борисовна</dc:creator>
  <dc:description/>
  <cp:lastModifiedBy>Боярищева Татьяна Федоровна</cp:lastModifiedBy>
  <cp:revision>184</cp:revision>
  <cp:lastPrinted>2026-10-26T09:26:00Z</cp:lastPrinted>
  <dcterms:created xsi:type="dcterms:W3CDTF">2022-01-26T11:11:00Z</dcterms:created>
  <dcterms:modified xsi:type="dcterms:W3CDTF">2026-10-29T07:45:00Z</dcterms:modified>
  <dc:language>ru-RU</dc:language>
</cp:coreProperties>
</file>